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KES 2021 248 vom 31. Mai 2021</w:t>
      </w:r>
    </w:p>
    <w:p>
      <w:r>
        <w:t>BE Obergericht, 2021-05-31, DE</w:t>
      </w:r>
    </w:p>
    <w:p>
      <w:r>
        <w:rPr>
          <w:b/>
        </w:rPr>
        <w:t xml:space="preserve">Quelle: </w:t>
      </w:r>
      <w:r>
        <w:t>https://mcp.opencaselaw.ch/entscheid/be_zivilstraf_KES 2021 248</w:t>
      </w:r>
    </w:p>
    <w:p>
      <w:r>
        <w:t>FR: BE_ZIVILSTRAF KES 2021 248 du 31 mai 2021</w:t>
      </w:r>
    </w:p>
    <w:p>
      <w:r>
        <w:t>IT: BE_ZIVILSTRAF KES 2021 248 del 31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Für B.________ (nachfolgend Betroffene) besteht seit dem Jahr 2013 eine Vertre- tungsbeistandschaft gemäss Art. 394 Abs. 1 i.V.m. Art. 395 Abs. 1 und 3 des Schweizerischen Zivilgesetzbuches (ZGB; SR 210) in den Bereichen soziales Wohl, Wohnen, Administration und Finanzen. Als Beistand war vorerst C.________ vom Amt für Kindes- und Erwachsenenschutz (EKS) der Stadt Bern eingesetzt. Per 30. Juni 2020 übernahm die Nichte der Betroffenen, A.________, das Amt als Bei- ständin.</w:t>
      </w:r>
    </w:p>
    <w:p>
      <w:r>
        <w:rPr>
          <w:b/>
        </w:rPr>
        <w:t>E. 2</w:t>
      </w:r>
    </w:p>
    <w:p>
      <w:r>
        <w:t>Mit Eingabe vom 9. April 2021 erhob A.________ (nachfolgend Beschwerdeführe- rin) beim Kindes- und Erwachsenenschutzgericht Beschwerde wegen Rechtsver- zögerung. Sie beantragt, die Schadenforderung vom 8. Oktober 2020 sei umge- hend an die Hand zu nehmen und so rasch als möglich zum Entscheid zu führen. Ausserdem sei die Schadenforderung unverzüglich an die Geschädigte (Betroffe- ne) zu überweisen. Zur Begründung führte sie aus, sie habe im Oktober 2020 beim EKS eine Aufstel- lung des durch Misswirtschaft des ehemaligen Beistands entstandenen Schadens eingereicht (total CHF 22'052.35 gemäss Schreiben vom 8. Oktober 2020 [Be- schwerdebeilage 2]). Das EKS habe ihr Schreiben der Kindes- und Erwachsenen- schutzbehörde (KESB) zur Prüfung weitergeleitet, welche mit Entscheid vom 30. November 2020 (i.S. Genehmigung des Schlussberichts und der Schlussrech- nung sowie Entlastung des bisherigen Beistands) den Schaden eingestanden habe mit dem Hinweis, die Schadensregulierung erfolge mit separater Verfügung. Zu ih- ren Fragen betreffend Verfahrensbeginn, –stand oder –beendigung habe sich nie- mand äussern können oder wollen. Nach mittlerweile 6 Monaten Bearbeitungszeit seitens der KESB und deren Versicherung sei das Verfahren nun zeitnah zu erledi- gen.</w:t>
      </w:r>
    </w:p>
    <w:p>
      <w:r>
        <w:rPr>
          <w:b/>
        </w:rPr>
        <w:t>E. 3</w:t>
      </w:r>
    </w:p>
    <w:p>
      <w:r>
        <w:t>Die KESB Bern reichte am 10. Mai 2021 eine Stellungnahme ein. Das EKS habe am 22. Dezember 2020 einen Antrag auf Schadensregulierung ein- gereicht. Die Leiterin des Revisorats der KESB habe die Beschwerdeführerin am</w:t>
      </w:r>
    </w:p>
    <w:p>
      <w:r>
        <w:rPr>
          <w:b/>
        </w:rPr>
        <w:t>E. 7</w:t>
      </w:r>
    </w:p>
    <w:p>
      <w:r>
        <w:t>Angesichts des Verfahrensausgangs hat die Beschwerdeführerin allfällige Partei- kosten selbst zu tragen (Art. 70 Abs. 1 KESG i.V.m. Art. 108 Abs. 1 VRPG). Die Vorinstanz hat keinen Anspruch auf Parteikostenersatz (Art. 104 Abs. 3 VRPG), weshalb kein solcher zugesprochen wird.</w:t>
      </w:r>
    </w:p>
    <w:p>
      <w:r>
        <w:t>6 Das Gericht entscheidet: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